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AA" w:rsidRPr="00A23C1B" w:rsidRDefault="00FE5CB2" w:rsidP="000A3FAA">
      <w:pPr>
        <w:pStyle w:val="Sinespaciado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22</w:t>
      </w:r>
      <w:r w:rsidR="000A3FAA" w:rsidRPr="00A23C1B">
        <w:rPr>
          <w:sz w:val="24"/>
          <w:szCs w:val="24"/>
        </w:rPr>
        <w:t xml:space="preserve"> de marzo de 2019</w:t>
      </w:r>
    </w:p>
    <w:p w:rsidR="000A3FAA" w:rsidRPr="00A23C1B" w:rsidRDefault="000A3FAA" w:rsidP="000A3FAA">
      <w:pPr>
        <w:pStyle w:val="Sinespaciado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DF-CI-</w:t>
      </w:r>
      <w:r w:rsidR="00A23C1B" w:rsidRPr="00A23C1B">
        <w:rPr>
          <w:sz w:val="24"/>
          <w:szCs w:val="24"/>
        </w:rPr>
        <w:t>0324</w:t>
      </w:r>
      <w:r w:rsidRPr="00A23C1B">
        <w:rPr>
          <w:sz w:val="24"/>
          <w:szCs w:val="24"/>
        </w:rPr>
        <w:t>-2019</w:t>
      </w:r>
    </w:p>
    <w:p w:rsidR="000A3FAA" w:rsidRPr="00A23C1B" w:rsidRDefault="000A3FAA" w:rsidP="000A3FAA">
      <w:pPr>
        <w:pStyle w:val="Sinespaciado"/>
        <w:jc w:val="both"/>
        <w:rPr>
          <w:sz w:val="24"/>
          <w:szCs w:val="24"/>
        </w:rPr>
      </w:pPr>
    </w:p>
    <w:p w:rsidR="000A3FAA" w:rsidRPr="00A23C1B" w:rsidRDefault="000A3FAA" w:rsidP="000A3FAA">
      <w:pPr>
        <w:pStyle w:val="Sinespaciado"/>
        <w:jc w:val="both"/>
        <w:rPr>
          <w:sz w:val="24"/>
          <w:szCs w:val="24"/>
        </w:rPr>
      </w:pPr>
    </w:p>
    <w:p w:rsidR="00A23C1B" w:rsidRPr="00A23C1B" w:rsidRDefault="00A23C1B" w:rsidP="000A3FAA">
      <w:pPr>
        <w:pStyle w:val="Sinespaciado"/>
        <w:jc w:val="both"/>
        <w:rPr>
          <w:sz w:val="24"/>
          <w:szCs w:val="24"/>
        </w:rPr>
      </w:pPr>
    </w:p>
    <w:p w:rsidR="00A23C1B" w:rsidRPr="00A23C1B" w:rsidRDefault="00A23C1B" w:rsidP="000A3FAA">
      <w:pPr>
        <w:pStyle w:val="Sinespaciado"/>
        <w:jc w:val="both"/>
        <w:rPr>
          <w:sz w:val="24"/>
          <w:szCs w:val="24"/>
        </w:rPr>
      </w:pPr>
    </w:p>
    <w:p w:rsidR="000A3FAA" w:rsidRPr="00A23C1B" w:rsidRDefault="000A3FAA" w:rsidP="000A3FAA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A23C1B">
        <w:rPr>
          <w:rFonts w:asciiTheme="minorHAnsi" w:hAnsiTheme="minorHAnsi" w:cstheme="minorHAnsi"/>
          <w:sz w:val="24"/>
          <w:szCs w:val="24"/>
          <w:lang w:val="es-ES_tradnl"/>
        </w:rPr>
        <w:t>Señores (as)</w:t>
      </w:r>
    </w:p>
    <w:p w:rsidR="000A3FAA" w:rsidRPr="00A23C1B" w:rsidRDefault="000A3FAA" w:rsidP="000A3FAA">
      <w:pPr>
        <w:keepNext/>
        <w:keepLines/>
        <w:widowControl/>
        <w:autoSpaceDE/>
        <w:autoSpaceDN/>
        <w:adjustRightInd/>
        <w:jc w:val="both"/>
        <w:outlineLvl w:val="0"/>
        <w:rPr>
          <w:rFonts w:asciiTheme="minorHAnsi" w:hAnsiTheme="minorHAnsi" w:cstheme="minorHAnsi"/>
          <w:sz w:val="24"/>
          <w:szCs w:val="24"/>
          <w:lang w:val="es-ES_tradnl"/>
        </w:rPr>
      </w:pPr>
      <w:r w:rsidRPr="00A23C1B">
        <w:rPr>
          <w:rFonts w:asciiTheme="minorHAnsi" w:hAnsiTheme="minorHAnsi" w:cstheme="minorHAnsi"/>
          <w:sz w:val="24"/>
          <w:szCs w:val="24"/>
          <w:lang w:val="es-ES_tradnl"/>
        </w:rPr>
        <w:t>Directores o Jefes de Crédito</w:t>
      </w:r>
    </w:p>
    <w:p w:rsidR="000A3FAA" w:rsidRPr="00A23C1B" w:rsidRDefault="000A3FAA" w:rsidP="000A3FAA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A23C1B">
        <w:rPr>
          <w:rFonts w:asciiTheme="minorHAnsi" w:hAnsiTheme="minorHAnsi" w:cstheme="minorHAnsi"/>
          <w:sz w:val="24"/>
          <w:szCs w:val="24"/>
          <w:lang w:val="es-ES_tradnl"/>
        </w:rPr>
        <w:t>Entidades Autorizadas</w:t>
      </w:r>
    </w:p>
    <w:p w:rsidR="000A3FAA" w:rsidRPr="00A23C1B" w:rsidRDefault="000A3FAA" w:rsidP="000A3FAA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A23C1B">
        <w:rPr>
          <w:rFonts w:asciiTheme="minorHAnsi" w:hAnsiTheme="minorHAnsi" w:cstheme="minorHAnsi"/>
          <w:sz w:val="24"/>
          <w:szCs w:val="24"/>
          <w:lang w:val="es-ES_tradnl"/>
        </w:rPr>
        <w:t>Sistema Financiero Nacional para la Vivienda</w:t>
      </w:r>
    </w:p>
    <w:p w:rsidR="000A3FAA" w:rsidRPr="00A23C1B" w:rsidRDefault="000A3FAA" w:rsidP="000A3FAA">
      <w:pPr>
        <w:pStyle w:val="Sinespaciado"/>
        <w:jc w:val="both"/>
        <w:rPr>
          <w:sz w:val="24"/>
          <w:szCs w:val="24"/>
        </w:rPr>
      </w:pPr>
    </w:p>
    <w:p w:rsidR="000A3FAA" w:rsidRPr="00A23C1B" w:rsidRDefault="000A3FAA" w:rsidP="000A3FAA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A23C1B">
        <w:rPr>
          <w:rFonts w:asciiTheme="minorHAnsi" w:hAnsiTheme="minorHAnsi" w:cstheme="minorHAnsi"/>
          <w:sz w:val="24"/>
          <w:szCs w:val="24"/>
          <w:lang w:val="es-ES_tradnl"/>
        </w:rPr>
        <w:t>Estimados señores:</w:t>
      </w:r>
    </w:p>
    <w:p w:rsidR="000A3FAA" w:rsidRPr="00A23C1B" w:rsidRDefault="000A3FAA" w:rsidP="000A3FAA">
      <w:pPr>
        <w:pStyle w:val="Sinespaciado"/>
        <w:jc w:val="both"/>
        <w:rPr>
          <w:sz w:val="24"/>
          <w:szCs w:val="24"/>
        </w:rPr>
      </w:pPr>
    </w:p>
    <w:p w:rsidR="004653E4" w:rsidRPr="00A23C1B" w:rsidRDefault="000A3FAA" w:rsidP="000A3FAA">
      <w:pPr>
        <w:pStyle w:val="Sinespaciado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Mediante informe de Auditoría FO-FIN-001-2018, del 25 de octubre de 2018, se recomienda a la Administración en relación con el registro de empresas constructoras asociadas a casos individuales (ordinarios o Artículo 59), o de proyectos</w:t>
      </w:r>
      <w:r w:rsidR="004653E4" w:rsidRPr="00A23C1B">
        <w:rPr>
          <w:sz w:val="24"/>
          <w:szCs w:val="24"/>
        </w:rPr>
        <w:t>, lo siguiente:</w:t>
      </w:r>
    </w:p>
    <w:p w:rsidR="004653E4" w:rsidRPr="00A23C1B" w:rsidRDefault="004653E4" w:rsidP="000A3FAA">
      <w:pPr>
        <w:pStyle w:val="Sinespaciado"/>
        <w:jc w:val="both"/>
        <w:rPr>
          <w:sz w:val="24"/>
          <w:szCs w:val="24"/>
        </w:rPr>
      </w:pPr>
    </w:p>
    <w:p w:rsidR="001E0431" w:rsidRPr="00A23C1B" w:rsidRDefault="004653E4" w:rsidP="004653E4">
      <w:pPr>
        <w:pStyle w:val="Sinespaciado"/>
        <w:ind w:left="709" w:right="900"/>
        <w:jc w:val="both"/>
        <w:rPr>
          <w:i/>
          <w:sz w:val="24"/>
          <w:szCs w:val="24"/>
        </w:rPr>
      </w:pPr>
      <w:r w:rsidRPr="00A23C1B">
        <w:rPr>
          <w:i/>
          <w:sz w:val="24"/>
          <w:szCs w:val="24"/>
        </w:rPr>
        <w:t>“Solicitar a la jefatura del Departamento de Análisis y Control que, en coordinación con el Departamento de Tecnologías de Información, gestionar la emisión de una circular o directriz a las Entidades Autorizadas, para que se registren las empresas constructoras de bonos individuales y proyectos y se pueda relacionar esa información con alertas sobre el comportamiento de esas empresas en la inversión de los recursos del bono familiar de vivienda.”</w:t>
      </w:r>
    </w:p>
    <w:p w:rsidR="001E0431" w:rsidRPr="00A23C1B" w:rsidRDefault="001E0431" w:rsidP="000A3FAA">
      <w:pPr>
        <w:pStyle w:val="Sinespaciado"/>
        <w:jc w:val="both"/>
        <w:rPr>
          <w:sz w:val="24"/>
          <w:szCs w:val="24"/>
        </w:rPr>
      </w:pPr>
    </w:p>
    <w:p w:rsidR="00FE5CB2" w:rsidRPr="00A23C1B" w:rsidRDefault="001E0431" w:rsidP="00FE5CB2">
      <w:pPr>
        <w:pStyle w:val="Sinespaciado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D</w:t>
      </w:r>
      <w:r w:rsidR="000A3FAA" w:rsidRPr="00A23C1B">
        <w:rPr>
          <w:sz w:val="24"/>
          <w:szCs w:val="24"/>
        </w:rPr>
        <w:t>esde el 2012, se había habilitado</w:t>
      </w:r>
      <w:r w:rsidRPr="00A23C1B">
        <w:rPr>
          <w:sz w:val="24"/>
          <w:szCs w:val="24"/>
        </w:rPr>
        <w:t xml:space="preserve"> su registro en el Sistema de Vivienda en l</w:t>
      </w:r>
      <w:r w:rsidR="00D45B11" w:rsidRPr="00A23C1B">
        <w:rPr>
          <w:sz w:val="24"/>
          <w:szCs w:val="24"/>
        </w:rPr>
        <w:t>os datos</w:t>
      </w:r>
      <w:r w:rsidRPr="00A23C1B">
        <w:rPr>
          <w:sz w:val="24"/>
          <w:szCs w:val="24"/>
        </w:rPr>
        <w:t xml:space="preserve"> de la construcción, la empresa o persona a cargo del p</w:t>
      </w:r>
      <w:r w:rsidR="00FE5CB2" w:rsidRPr="00A23C1B">
        <w:rPr>
          <w:sz w:val="24"/>
          <w:szCs w:val="24"/>
        </w:rPr>
        <w:t>roceso constructivo. Se han realizado hasta la fecha</w:t>
      </w:r>
      <w:r w:rsidR="006D5907" w:rsidRPr="00A23C1B">
        <w:rPr>
          <w:sz w:val="24"/>
          <w:szCs w:val="24"/>
        </w:rPr>
        <w:t>,</w:t>
      </w:r>
      <w:r w:rsidR="00FE5CB2" w:rsidRPr="00A23C1B">
        <w:rPr>
          <w:sz w:val="24"/>
          <w:szCs w:val="24"/>
        </w:rPr>
        <w:t xml:space="preserve"> </w:t>
      </w:r>
      <w:r w:rsidRPr="00A23C1B">
        <w:rPr>
          <w:sz w:val="24"/>
          <w:szCs w:val="24"/>
        </w:rPr>
        <w:t xml:space="preserve">registros </w:t>
      </w:r>
      <w:r w:rsidR="00FE5CB2" w:rsidRPr="00A23C1B">
        <w:rPr>
          <w:sz w:val="24"/>
          <w:szCs w:val="24"/>
        </w:rPr>
        <w:t xml:space="preserve">por parte de las </w:t>
      </w:r>
      <w:r w:rsidRPr="00A23C1B">
        <w:rPr>
          <w:sz w:val="24"/>
          <w:szCs w:val="24"/>
        </w:rPr>
        <w:t>entidades autorizadas</w:t>
      </w:r>
      <w:r w:rsidR="00FE5CB2" w:rsidRPr="00A23C1B">
        <w:rPr>
          <w:sz w:val="24"/>
          <w:szCs w:val="24"/>
        </w:rPr>
        <w:t xml:space="preserve"> donde se consigna</w:t>
      </w:r>
      <w:r w:rsidRPr="00A23C1B">
        <w:rPr>
          <w:sz w:val="24"/>
          <w:szCs w:val="24"/>
        </w:rPr>
        <w:t xml:space="preserve"> como administrado por el beneficiario o arquitecto genérico,</w:t>
      </w:r>
      <w:r w:rsidR="00FE5CB2" w:rsidRPr="00A23C1B">
        <w:rPr>
          <w:sz w:val="24"/>
          <w:szCs w:val="24"/>
        </w:rPr>
        <w:t xml:space="preserve"> siendo </w:t>
      </w:r>
      <w:r w:rsidR="00D45B11" w:rsidRPr="00A23C1B">
        <w:rPr>
          <w:sz w:val="24"/>
          <w:szCs w:val="24"/>
        </w:rPr>
        <w:t>que los expedientes de bono familiar están siendo recibidos</w:t>
      </w:r>
      <w:r w:rsidR="00FE5CB2" w:rsidRPr="00A23C1B">
        <w:rPr>
          <w:sz w:val="24"/>
          <w:szCs w:val="24"/>
        </w:rPr>
        <w:t xml:space="preserve"> por la entidad de</w:t>
      </w:r>
      <w:r w:rsidR="00D45B11" w:rsidRPr="00A23C1B">
        <w:rPr>
          <w:sz w:val="24"/>
          <w:szCs w:val="24"/>
        </w:rPr>
        <w:t xml:space="preserve"> parte de empresas constructoras</w:t>
      </w:r>
      <w:r w:rsidR="00FE5CB2" w:rsidRPr="00A23C1B">
        <w:rPr>
          <w:sz w:val="24"/>
          <w:szCs w:val="24"/>
        </w:rPr>
        <w:t>,</w:t>
      </w:r>
      <w:r w:rsidR="00D45B11" w:rsidRPr="00A23C1B">
        <w:rPr>
          <w:sz w:val="24"/>
          <w:szCs w:val="24"/>
        </w:rPr>
        <w:t xml:space="preserve"> </w:t>
      </w:r>
      <w:r w:rsidR="00FE5CB2" w:rsidRPr="00A23C1B">
        <w:rPr>
          <w:sz w:val="24"/>
          <w:szCs w:val="24"/>
        </w:rPr>
        <w:t xml:space="preserve">no registrándose en el sistema como corresponde.  Cuando se registra </w:t>
      </w:r>
      <w:r w:rsidR="006D5907" w:rsidRPr="00A23C1B">
        <w:rPr>
          <w:sz w:val="24"/>
          <w:szCs w:val="24"/>
        </w:rPr>
        <w:t>“</w:t>
      </w:r>
      <w:r w:rsidR="00FE5CB2" w:rsidRPr="00A23C1B">
        <w:rPr>
          <w:sz w:val="24"/>
          <w:szCs w:val="24"/>
        </w:rPr>
        <w:t>administrado por el beneficiario</w:t>
      </w:r>
      <w:r w:rsidR="006D5907" w:rsidRPr="00A23C1B">
        <w:rPr>
          <w:sz w:val="24"/>
          <w:szCs w:val="24"/>
        </w:rPr>
        <w:t>”</w:t>
      </w:r>
      <w:r w:rsidR="00FE5CB2" w:rsidRPr="00A23C1B">
        <w:rPr>
          <w:sz w:val="24"/>
          <w:szCs w:val="24"/>
        </w:rPr>
        <w:t xml:space="preserve">, </w:t>
      </w:r>
      <w:r w:rsidR="006D5907" w:rsidRPr="00A23C1B">
        <w:rPr>
          <w:sz w:val="24"/>
          <w:szCs w:val="24"/>
        </w:rPr>
        <w:t>y é</w:t>
      </w:r>
      <w:r w:rsidR="00FE5CB2" w:rsidRPr="00A23C1B">
        <w:rPr>
          <w:sz w:val="24"/>
          <w:szCs w:val="24"/>
        </w:rPr>
        <w:t>ste posteriormente a la aprobación del bono familiar, firma un contrato con una empresa constructora, pudiendo ésta, estar en morosidad con la seguridad social</w:t>
      </w:r>
      <w:r w:rsidR="007E692F" w:rsidRPr="00A23C1B">
        <w:rPr>
          <w:sz w:val="24"/>
          <w:szCs w:val="24"/>
        </w:rPr>
        <w:t>, entre otras responsabilidades</w:t>
      </w:r>
      <w:r w:rsidR="006D5907" w:rsidRPr="00A23C1B">
        <w:rPr>
          <w:sz w:val="24"/>
          <w:szCs w:val="24"/>
        </w:rPr>
        <w:t xml:space="preserve">, condición debe considerarse como un factor de riesgo, sobre la </w:t>
      </w:r>
      <w:r w:rsidR="007E692F" w:rsidRPr="00A23C1B">
        <w:rPr>
          <w:sz w:val="24"/>
          <w:szCs w:val="24"/>
        </w:rPr>
        <w:t>situación</w:t>
      </w:r>
      <w:r w:rsidR="006D5907" w:rsidRPr="00A23C1B">
        <w:rPr>
          <w:sz w:val="24"/>
          <w:szCs w:val="24"/>
        </w:rPr>
        <w:t xml:space="preserve"> de la empresa constructora y su administración.</w:t>
      </w:r>
    </w:p>
    <w:p w:rsidR="00FE5CB2" w:rsidRPr="00A23C1B" w:rsidRDefault="00FE5CB2" w:rsidP="000A3FAA">
      <w:pPr>
        <w:pStyle w:val="Sinespaciado"/>
        <w:jc w:val="both"/>
        <w:rPr>
          <w:sz w:val="24"/>
          <w:szCs w:val="24"/>
        </w:rPr>
      </w:pPr>
    </w:p>
    <w:p w:rsidR="007E692F" w:rsidRPr="00A23C1B" w:rsidRDefault="007E692F" w:rsidP="000A3FAA">
      <w:pPr>
        <w:pStyle w:val="Sinespaciado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Es importante destacar la responsabilidad de la Entidades Autorizadas en relación con la verificación de la información de las Empresas Constructoras y que se encuentra tipificado en nuestra normativa. Indica el artículo 9 del Reglamento sobre la Organización y Funcionamiento del Sistema Financiero Nacional para la Vivienda, en lo que interesa lo siguiente:</w:t>
      </w:r>
    </w:p>
    <w:p w:rsidR="007E692F" w:rsidRPr="00A23C1B" w:rsidRDefault="007E692F" w:rsidP="00423D04">
      <w:pPr>
        <w:pStyle w:val="Sinespaciado"/>
        <w:ind w:left="1418" w:right="1418"/>
        <w:jc w:val="both"/>
        <w:rPr>
          <w:rFonts w:cs="Arial"/>
          <w:i/>
          <w:sz w:val="24"/>
          <w:szCs w:val="24"/>
        </w:rPr>
      </w:pPr>
      <w:r w:rsidRPr="00A23C1B">
        <w:rPr>
          <w:i/>
          <w:sz w:val="24"/>
          <w:szCs w:val="24"/>
        </w:rPr>
        <w:lastRenderedPageBreak/>
        <w:t xml:space="preserve">“La selección de los desarrolladores de vivienda será responsabilidad exclusiva de cada Entidad Autorizada, la cual deberá guiarse por criterios de eficiencia y excelencia técnica y los antecedentes del desarrollador, tanto dentro como fuera del Sistema.” </w:t>
      </w:r>
    </w:p>
    <w:p w:rsidR="007E692F" w:rsidRPr="00A23C1B" w:rsidRDefault="007E692F" w:rsidP="000A3FAA">
      <w:pPr>
        <w:pStyle w:val="Sinespaciado"/>
        <w:jc w:val="both"/>
        <w:rPr>
          <w:sz w:val="24"/>
          <w:szCs w:val="24"/>
        </w:rPr>
      </w:pPr>
    </w:p>
    <w:p w:rsidR="003C5FED" w:rsidRPr="00A23C1B" w:rsidRDefault="007E692F" w:rsidP="000A3FAA">
      <w:pPr>
        <w:pStyle w:val="Sinespaciado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Por lo anterior todas las Entidades Autorizadas están en la obligación de solicitar a las Empresa</w:t>
      </w:r>
      <w:r w:rsidR="003C5FED" w:rsidRPr="00A23C1B">
        <w:rPr>
          <w:sz w:val="24"/>
          <w:szCs w:val="24"/>
        </w:rPr>
        <w:t>s Constructoras/</w:t>
      </w:r>
      <w:r w:rsidRPr="00A23C1B">
        <w:rPr>
          <w:sz w:val="24"/>
          <w:szCs w:val="24"/>
        </w:rPr>
        <w:t>Desarrolladoras, toda aquella documentación que demuestre la idoneidad de una empresa para participar en el manejo</w:t>
      </w:r>
      <w:r w:rsidR="003C5FED" w:rsidRPr="00A23C1B">
        <w:rPr>
          <w:sz w:val="24"/>
          <w:szCs w:val="24"/>
        </w:rPr>
        <w:t xml:space="preserve"> y administración</w:t>
      </w:r>
      <w:r w:rsidRPr="00A23C1B">
        <w:rPr>
          <w:sz w:val="24"/>
          <w:szCs w:val="24"/>
        </w:rPr>
        <w:t xml:space="preserve"> de fondos públicos</w:t>
      </w:r>
      <w:r w:rsidR="003C5FED" w:rsidRPr="00A23C1B">
        <w:rPr>
          <w:sz w:val="24"/>
          <w:szCs w:val="24"/>
        </w:rPr>
        <w:t xml:space="preserve">. Adicionalmente y no menos importante, conocer si esa Empresa tramita en otras Entidades Autorizadas, y si su capacidad instalada en materia de manejo de recursos totales del Sistema, responde a lo reflejado en sus estados financiaros y capacidad operativa. </w:t>
      </w:r>
    </w:p>
    <w:p w:rsidR="003C5FED" w:rsidRPr="00A23C1B" w:rsidRDefault="003C5FED" w:rsidP="000A3FAA">
      <w:pPr>
        <w:pStyle w:val="Sinespaciado"/>
        <w:jc w:val="both"/>
        <w:rPr>
          <w:sz w:val="24"/>
          <w:szCs w:val="24"/>
        </w:rPr>
      </w:pPr>
    </w:p>
    <w:p w:rsidR="001E0431" w:rsidRPr="00A23C1B" w:rsidRDefault="003C5FED" w:rsidP="000A3FAA">
      <w:pPr>
        <w:pStyle w:val="Sinespaciado"/>
        <w:jc w:val="both"/>
        <w:rPr>
          <w:sz w:val="24"/>
          <w:szCs w:val="24"/>
        </w:rPr>
      </w:pPr>
      <w:r w:rsidRPr="00A23C1B">
        <w:rPr>
          <w:sz w:val="24"/>
          <w:szCs w:val="24"/>
        </w:rPr>
        <w:t xml:space="preserve">A lo largo de la historia del BANHVI </w:t>
      </w:r>
      <w:r w:rsidR="001E0431" w:rsidRPr="00A23C1B">
        <w:rPr>
          <w:sz w:val="24"/>
          <w:szCs w:val="24"/>
        </w:rPr>
        <w:t>algunas empresas constructoras, han incurrido en atrasos en el proceso constructivo o desvío de recursos, afectando a las familias beneficiarias.</w:t>
      </w:r>
      <w:r w:rsidRPr="00A23C1B">
        <w:rPr>
          <w:sz w:val="24"/>
          <w:szCs w:val="24"/>
        </w:rPr>
        <w:t xml:space="preserve"> E</w:t>
      </w:r>
      <w:r w:rsidR="001E0431" w:rsidRPr="00A23C1B">
        <w:rPr>
          <w:sz w:val="24"/>
          <w:szCs w:val="24"/>
        </w:rPr>
        <w:t xml:space="preserve">n función de lo anterior, se les recuerda la siguiente normativa: </w:t>
      </w:r>
    </w:p>
    <w:p w:rsidR="001E0431" w:rsidRPr="00A23C1B" w:rsidRDefault="001E0431" w:rsidP="000A3FAA">
      <w:pPr>
        <w:pStyle w:val="Sinespaciado"/>
        <w:jc w:val="both"/>
        <w:rPr>
          <w:sz w:val="24"/>
          <w:szCs w:val="24"/>
        </w:rPr>
      </w:pPr>
    </w:p>
    <w:p w:rsidR="001E0431" w:rsidRPr="00A23C1B" w:rsidRDefault="001E0431" w:rsidP="001E0431">
      <w:pPr>
        <w:pStyle w:val="Textosinformato"/>
        <w:ind w:left="720" w:right="900"/>
        <w:jc w:val="both"/>
        <w:rPr>
          <w:rFonts w:asciiTheme="minorHAnsi" w:eastAsia="Times New Roman" w:hAnsiTheme="minorHAnsi" w:cstheme="minorHAnsi"/>
          <w:i/>
          <w:sz w:val="24"/>
          <w:szCs w:val="24"/>
          <w:lang w:val="es-ES" w:eastAsia="es-ES"/>
        </w:rPr>
      </w:pPr>
      <w:r w:rsidRPr="00A23C1B">
        <w:rPr>
          <w:rFonts w:asciiTheme="minorHAnsi" w:eastAsia="Times New Roman" w:hAnsiTheme="minorHAnsi" w:cstheme="minorHAnsi"/>
          <w:i/>
          <w:sz w:val="24"/>
          <w:szCs w:val="24"/>
          <w:lang w:val="es-ES" w:eastAsia="es-ES"/>
        </w:rPr>
        <w:t xml:space="preserve">"Artículo 173 bis LSFNV.- </w:t>
      </w:r>
    </w:p>
    <w:p w:rsidR="001E0431" w:rsidRPr="00A23C1B" w:rsidRDefault="001E0431" w:rsidP="001E0431">
      <w:pPr>
        <w:pStyle w:val="Textosinformato"/>
        <w:ind w:left="720" w:right="900"/>
        <w:jc w:val="both"/>
        <w:rPr>
          <w:rFonts w:asciiTheme="minorHAnsi" w:eastAsia="Times New Roman" w:hAnsiTheme="minorHAnsi" w:cstheme="minorHAnsi"/>
          <w:i/>
          <w:sz w:val="24"/>
          <w:szCs w:val="24"/>
          <w:lang w:val="es-ES" w:eastAsia="es-ES"/>
        </w:rPr>
      </w:pPr>
      <w:r w:rsidRPr="00A23C1B">
        <w:rPr>
          <w:rFonts w:asciiTheme="minorHAnsi" w:eastAsia="Times New Roman" w:hAnsiTheme="minorHAnsi" w:cstheme="minorHAnsi"/>
          <w:i/>
          <w:sz w:val="24"/>
          <w:szCs w:val="24"/>
          <w:lang w:val="es-ES" w:eastAsia="es-ES"/>
        </w:rPr>
        <w:t> </w:t>
      </w:r>
    </w:p>
    <w:p w:rsidR="001E0431" w:rsidRPr="00A23C1B" w:rsidRDefault="001E0431" w:rsidP="001E0431">
      <w:pPr>
        <w:pStyle w:val="Textosinformato"/>
        <w:ind w:left="720" w:right="900"/>
        <w:jc w:val="both"/>
        <w:rPr>
          <w:rFonts w:asciiTheme="minorHAnsi" w:eastAsia="Times New Roman" w:hAnsiTheme="minorHAnsi" w:cstheme="minorHAnsi"/>
          <w:i/>
          <w:sz w:val="24"/>
          <w:szCs w:val="24"/>
          <w:lang w:val="es-ES" w:eastAsia="es-ES"/>
        </w:rPr>
      </w:pPr>
      <w:r w:rsidRPr="00A23C1B">
        <w:rPr>
          <w:rFonts w:asciiTheme="minorHAnsi" w:eastAsia="Times New Roman" w:hAnsiTheme="minorHAnsi" w:cstheme="minorHAnsi"/>
          <w:i/>
          <w:sz w:val="24"/>
          <w:szCs w:val="24"/>
          <w:lang w:val="es-ES" w:eastAsia="es-ES"/>
        </w:rPr>
        <w:t xml:space="preserve">El ejecutor de un proyecto de vivienda financiado con recursos del Sistema que, directa o indirectamente, permita o autorice que la calidad o cantidad de los materiales empleados en la construcción de ella sea inferior a la especificada en el proyecto constructivo </w:t>
      </w:r>
      <w:r w:rsidRPr="00A23C1B"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val="es-ES" w:eastAsia="es-ES"/>
        </w:rPr>
        <w:t>o, bien, que desvíe recursos hacia otros proyectos</w:t>
      </w:r>
      <w:r w:rsidRPr="00A23C1B">
        <w:rPr>
          <w:rFonts w:asciiTheme="minorHAnsi" w:eastAsia="Times New Roman" w:hAnsiTheme="minorHAnsi" w:cstheme="minorHAnsi"/>
          <w:i/>
          <w:sz w:val="24"/>
          <w:szCs w:val="24"/>
          <w:lang w:val="es-ES" w:eastAsia="es-ES"/>
        </w:rPr>
        <w:t xml:space="preserve">, que cobre, a los beneficiarios de las viviendas, precios por encima de los autorizados por el Banco, incurrirá en los delitos de fraude o especulación en los términos previstos en el Código Penal o Ley de Protección al Consumidor. </w:t>
      </w:r>
      <w:r w:rsidRPr="00A23C1B"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val="es-ES" w:eastAsia="es-ES"/>
        </w:rPr>
        <w:t>Asimismo, los funcionarios y directores de las entidades autorizadas y del Banco Hipotecario de la Vivienda que, habiéndose enterado de las irregularidades, no las denuncien ante el Ministerio Público podrán ser acusados de cómplices o encubridores</w:t>
      </w:r>
      <w:r w:rsidRPr="00A23C1B">
        <w:rPr>
          <w:rFonts w:asciiTheme="minorHAnsi" w:eastAsia="Times New Roman" w:hAnsiTheme="minorHAnsi" w:cstheme="minorHAnsi"/>
          <w:i/>
          <w:sz w:val="24"/>
          <w:szCs w:val="24"/>
          <w:lang w:val="es-ES" w:eastAsia="es-ES"/>
        </w:rPr>
        <w:t>." (El destacado no es del original)</w:t>
      </w:r>
    </w:p>
    <w:p w:rsidR="001E0431" w:rsidRPr="00A23C1B" w:rsidRDefault="001E0431" w:rsidP="000A3FAA">
      <w:pPr>
        <w:pStyle w:val="Sinespaciado"/>
        <w:jc w:val="both"/>
        <w:rPr>
          <w:sz w:val="24"/>
          <w:szCs w:val="24"/>
        </w:rPr>
      </w:pPr>
    </w:p>
    <w:p w:rsidR="00423D04" w:rsidRDefault="00423D04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b/>
          <w:i/>
          <w:sz w:val="24"/>
          <w:szCs w:val="24"/>
          <w:u w:val="single"/>
          <w:lang w:val="es-CR" w:eastAsia="en-US"/>
        </w:rPr>
      </w:pPr>
      <w:r>
        <w:rPr>
          <w:b/>
          <w:i/>
          <w:sz w:val="24"/>
          <w:szCs w:val="24"/>
          <w:u w:val="single"/>
        </w:rPr>
        <w:br w:type="page"/>
      </w:r>
    </w:p>
    <w:p w:rsidR="001E0431" w:rsidRPr="00A23C1B" w:rsidRDefault="00094249" w:rsidP="00094249">
      <w:pPr>
        <w:pStyle w:val="Sinespaciado"/>
        <w:ind w:left="709"/>
        <w:jc w:val="both"/>
        <w:rPr>
          <w:b/>
          <w:i/>
          <w:sz w:val="24"/>
          <w:szCs w:val="24"/>
          <w:u w:val="single"/>
        </w:rPr>
      </w:pPr>
      <w:r w:rsidRPr="00A23C1B">
        <w:rPr>
          <w:b/>
          <w:i/>
          <w:sz w:val="24"/>
          <w:szCs w:val="24"/>
          <w:u w:val="single"/>
        </w:rPr>
        <w:lastRenderedPageBreak/>
        <w:t>Artículo 8 del Reglamento para la Organización y Funcionamiento del SFNV.</w:t>
      </w:r>
    </w:p>
    <w:p w:rsidR="00094249" w:rsidRPr="00A23C1B" w:rsidRDefault="00094249" w:rsidP="00094249">
      <w:pPr>
        <w:pStyle w:val="Sinespaciado"/>
        <w:ind w:left="709"/>
        <w:jc w:val="both"/>
        <w:rPr>
          <w:sz w:val="24"/>
          <w:szCs w:val="24"/>
        </w:rPr>
      </w:pPr>
    </w:p>
    <w:p w:rsidR="00094249" w:rsidRPr="00A23C1B" w:rsidRDefault="00094249" w:rsidP="00094249">
      <w:pPr>
        <w:pStyle w:val="Sinespaciado"/>
        <w:ind w:left="709" w:right="900"/>
        <w:jc w:val="both"/>
        <w:rPr>
          <w:b/>
          <w:i/>
          <w:sz w:val="24"/>
          <w:szCs w:val="24"/>
        </w:rPr>
      </w:pPr>
      <w:r w:rsidRPr="00A23C1B">
        <w:rPr>
          <w:b/>
          <w:i/>
          <w:sz w:val="24"/>
          <w:szCs w:val="24"/>
        </w:rPr>
        <w:t xml:space="preserve">c) </w:t>
      </w:r>
      <w:r w:rsidRPr="00A23C1B">
        <w:rPr>
          <w:b/>
          <w:i/>
          <w:sz w:val="24"/>
          <w:szCs w:val="24"/>
        </w:rPr>
        <w:tab/>
        <w:t>Controlar, por medio de sus funcionarios de planta y de sus respectivos profesionales externos o consultores contratados expresamente, que las viviendas y los proyectos de vivienda, la calidad de los materiales, del diseño y la construcción de las obras se lleve a cabo de acuerdo con los planos y especificaciones técnicas, de  conformidad con las disposiciones legales vigentes. Caso contrario deberá la Entidad Autorizada interponer, ante las autoridades correspondientes, las denuncias del caso.</w:t>
      </w:r>
    </w:p>
    <w:p w:rsidR="00094249" w:rsidRPr="00A23C1B" w:rsidRDefault="00094249" w:rsidP="00094249">
      <w:pPr>
        <w:pStyle w:val="Sinespaciado"/>
        <w:ind w:left="709" w:right="900"/>
        <w:jc w:val="both"/>
        <w:rPr>
          <w:b/>
          <w:i/>
          <w:sz w:val="24"/>
          <w:szCs w:val="24"/>
        </w:rPr>
      </w:pPr>
    </w:p>
    <w:p w:rsidR="00094249" w:rsidRPr="00A23C1B" w:rsidRDefault="00094249" w:rsidP="00094249">
      <w:pPr>
        <w:pStyle w:val="Sinespaciado"/>
        <w:ind w:left="709" w:right="900"/>
        <w:jc w:val="both"/>
        <w:rPr>
          <w:b/>
          <w:i/>
          <w:sz w:val="24"/>
          <w:szCs w:val="24"/>
        </w:rPr>
      </w:pPr>
      <w:r w:rsidRPr="00A23C1B">
        <w:rPr>
          <w:b/>
          <w:i/>
          <w:sz w:val="24"/>
          <w:szCs w:val="24"/>
        </w:rPr>
        <w:t xml:space="preserve">Dentro del Sistema, la Entidad Autorizada será responsable solidariamente ante el Banco y cualquier perjudicado, de cualquier daño que pueda ser ocasionado por la actuación de sus funcionarios y profesionales, cuando se demuestre que estos actuaron con dolo, negligencia o culpa grave. </w:t>
      </w:r>
    </w:p>
    <w:p w:rsidR="00094249" w:rsidRPr="00A23C1B" w:rsidRDefault="00094249" w:rsidP="00094249">
      <w:pPr>
        <w:pStyle w:val="Sinespaciado"/>
        <w:ind w:left="709" w:right="900"/>
        <w:jc w:val="both"/>
        <w:rPr>
          <w:b/>
          <w:i/>
          <w:sz w:val="24"/>
          <w:szCs w:val="24"/>
        </w:rPr>
      </w:pPr>
    </w:p>
    <w:p w:rsidR="00094249" w:rsidRPr="00A23C1B" w:rsidRDefault="00094249" w:rsidP="00094249">
      <w:pPr>
        <w:pStyle w:val="Sinespaciado"/>
        <w:ind w:left="709" w:right="900"/>
        <w:jc w:val="both"/>
        <w:rPr>
          <w:b/>
          <w:i/>
          <w:sz w:val="24"/>
          <w:szCs w:val="24"/>
        </w:rPr>
      </w:pPr>
      <w:r w:rsidRPr="00A23C1B">
        <w:rPr>
          <w:b/>
          <w:i/>
          <w:sz w:val="24"/>
          <w:szCs w:val="24"/>
        </w:rPr>
        <w:t>Lo anterior se entiende sin perjuicio de las obligaciones y responsabilidades primarias que corresponden a los profesionales del desarrollador y de la empresa constructora responsables de las obras, de acuerdo con la legislación vigente en la materia.</w:t>
      </w:r>
    </w:p>
    <w:p w:rsidR="00094249" w:rsidRPr="00A23C1B" w:rsidRDefault="00094249" w:rsidP="00094249">
      <w:pPr>
        <w:pStyle w:val="Sinespaciado"/>
        <w:ind w:right="900"/>
        <w:jc w:val="both"/>
        <w:rPr>
          <w:b/>
          <w:i/>
          <w:sz w:val="24"/>
          <w:szCs w:val="24"/>
        </w:rPr>
      </w:pPr>
    </w:p>
    <w:p w:rsidR="003C5FED" w:rsidRPr="00A23C1B" w:rsidRDefault="00D45B11" w:rsidP="00423D04">
      <w:pPr>
        <w:pStyle w:val="Sinespaciado"/>
        <w:ind w:right="49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Debido</w:t>
      </w:r>
      <w:r w:rsidR="003C5FED" w:rsidRPr="00A23C1B">
        <w:rPr>
          <w:sz w:val="24"/>
          <w:szCs w:val="24"/>
        </w:rPr>
        <w:t xml:space="preserve"> a lo anterior, se les recuerda su obligación de que en</w:t>
      </w:r>
      <w:r w:rsidRPr="00A23C1B">
        <w:rPr>
          <w:sz w:val="24"/>
          <w:szCs w:val="24"/>
        </w:rPr>
        <w:t xml:space="preserve"> cada expediente de bono familiar</w:t>
      </w:r>
      <w:r w:rsidR="003C5FED" w:rsidRPr="00A23C1B">
        <w:rPr>
          <w:sz w:val="24"/>
          <w:szCs w:val="24"/>
        </w:rPr>
        <w:t xml:space="preserve"> que se tramita y</w:t>
      </w:r>
      <w:r w:rsidRPr="00A23C1B">
        <w:rPr>
          <w:sz w:val="24"/>
          <w:szCs w:val="24"/>
        </w:rPr>
        <w:t xml:space="preserve"> q</w:t>
      </w:r>
      <w:r w:rsidR="003C5FED" w:rsidRPr="00A23C1B">
        <w:rPr>
          <w:sz w:val="24"/>
          <w:szCs w:val="24"/>
        </w:rPr>
        <w:t>ue sea recibido directamente de una empresa C</w:t>
      </w:r>
      <w:r w:rsidRPr="00A23C1B">
        <w:rPr>
          <w:sz w:val="24"/>
          <w:szCs w:val="24"/>
        </w:rPr>
        <w:t>onstructora</w:t>
      </w:r>
      <w:r w:rsidR="003C5FED" w:rsidRPr="00A23C1B">
        <w:rPr>
          <w:sz w:val="24"/>
          <w:szCs w:val="24"/>
        </w:rPr>
        <w:t>/Desarrolladora, o de una familia que tiene un contrato con una empresa Constructora/Desarrolladora</w:t>
      </w:r>
      <w:r w:rsidRPr="00A23C1B">
        <w:rPr>
          <w:sz w:val="24"/>
          <w:szCs w:val="24"/>
        </w:rPr>
        <w:t xml:space="preserve">, </w:t>
      </w:r>
      <w:r w:rsidR="00B64C82" w:rsidRPr="00A23C1B">
        <w:rPr>
          <w:sz w:val="24"/>
          <w:szCs w:val="24"/>
        </w:rPr>
        <w:t>el expediente deberá ser asociado</w:t>
      </w:r>
      <w:r w:rsidR="003C5FED" w:rsidRPr="00A23C1B">
        <w:rPr>
          <w:sz w:val="24"/>
          <w:szCs w:val="24"/>
        </w:rPr>
        <w:t xml:space="preserve"> en el Sistema de Vivienda</w:t>
      </w:r>
      <w:r w:rsidR="00B64C82" w:rsidRPr="00A23C1B">
        <w:rPr>
          <w:sz w:val="24"/>
          <w:szCs w:val="24"/>
        </w:rPr>
        <w:t xml:space="preserve"> a </w:t>
      </w:r>
      <w:r w:rsidR="003C5FED" w:rsidRPr="00A23C1B">
        <w:rPr>
          <w:sz w:val="24"/>
          <w:szCs w:val="24"/>
        </w:rPr>
        <w:t xml:space="preserve">dicha empresa. Estos registros además son de suma importancia para nuestra institución, ya que nos dan una estadística real del trámite de expedientes mediante Empresas. </w:t>
      </w:r>
    </w:p>
    <w:p w:rsidR="003C5FED" w:rsidRPr="00A23C1B" w:rsidRDefault="003C5FED" w:rsidP="00423D04">
      <w:pPr>
        <w:pStyle w:val="Sinespaciado"/>
        <w:ind w:right="49"/>
        <w:jc w:val="both"/>
        <w:rPr>
          <w:sz w:val="24"/>
          <w:szCs w:val="24"/>
        </w:rPr>
      </w:pPr>
    </w:p>
    <w:p w:rsidR="007A3321" w:rsidRPr="00A23C1B" w:rsidRDefault="003C5FED" w:rsidP="00423D04">
      <w:pPr>
        <w:pStyle w:val="Sinespaciado"/>
        <w:ind w:right="49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Por lo anteriormente expuesto, e</w:t>
      </w:r>
      <w:r w:rsidR="006D5907" w:rsidRPr="00A23C1B">
        <w:rPr>
          <w:sz w:val="24"/>
          <w:szCs w:val="24"/>
        </w:rPr>
        <w:t xml:space="preserve">l incumplimiento de esta disposición, </w:t>
      </w:r>
      <w:r w:rsidRPr="00A23C1B">
        <w:rPr>
          <w:sz w:val="24"/>
          <w:szCs w:val="24"/>
        </w:rPr>
        <w:t xml:space="preserve">podrá ser </w:t>
      </w:r>
      <w:r w:rsidR="006D5907" w:rsidRPr="00A23C1B">
        <w:rPr>
          <w:sz w:val="24"/>
          <w:szCs w:val="24"/>
        </w:rPr>
        <w:t>motivo de rechazo del expediente, cuando se</w:t>
      </w:r>
      <w:r w:rsidRPr="00A23C1B">
        <w:rPr>
          <w:sz w:val="24"/>
          <w:szCs w:val="24"/>
        </w:rPr>
        <w:t xml:space="preserve"> logre</w:t>
      </w:r>
      <w:r w:rsidR="006D5907" w:rsidRPr="00A23C1B">
        <w:rPr>
          <w:sz w:val="24"/>
          <w:szCs w:val="24"/>
        </w:rPr>
        <w:t xml:space="preserve"> de</w:t>
      </w:r>
      <w:r w:rsidRPr="00A23C1B">
        <w:rPr>
          <w:sz w:val="24"/>
          <w:szCs w:val="24"/>
        </w:rPr>
        <w:t>terminar</w:t>
      </w:r>
      <w:r w:rsidR="006D5907" w:rsidRPr="00A23C1B">
        <w:rPr>
          <w:sz w:val="24"/>
          <w:szCs w:val="24"/>
        </w:rPr>
        <w:t xml:space="preserve"> la omisión en el registro.</w:t>
      </w:r>
      <w:r w:rsidRPr="00A23C1B">
        <w:rPr>
          <w:sz w:val="24"/>
          <w:szCs w:val="24"/>
        </w:rPr>
        <w:t xml:space="preserve"> </w:t>
      </w:r>
    </w:p>
    <w:p w:rsidR="007A3321" w:rsidRPr="00A23C1B" w:rsidRDefault="007A3321" w:rsidP="00423D04">
      <w:pPr>
        <w:pStyle w:val="Sinespaciado"/>
        <w:ind w:right="49"/>
        <w:jc w:val="both"/>
        <w:rPr>
          <w:sz w:val="24"/>
          <w:szCs w:val="24"/>
        </w:rPr>
      </w:pPr>
    </w:p>
    <w:p w:rsidR="007A3321" w:rsidRPr="00A23C1B" w:rsidRDefault="007A3321" w:rsidP="00423D04">
      <w:pPr>
        <w:pStyle w:val="Sinespaciado"/>
        <w:ind w:right="49"/>
        <w:jc w:val="both"/>
        <w:rPr>
          <w:sz w:val="24"/>
          <w:szCs w:val="24"/>
        </w:rPr>
      </w:pPr>
      <w:r w:rsidRPr="00A23C1B">
        <w:rPr>
          <w:sz w:val="24"/>
          <w:szCs w:val="24"/>
        </w:rPr>
        <w:t xml:space="preserve">Adicionalmente, podrán sufrir sanciones administrativas, legales o de otra índole, aquellas Entidades Autorizadas, que en revisiones a posteriori realizadas por el BANHVI,  se demuestre que han ocultado la participación de empresas constructoras. </w:t>
      </w:r>
    </w:p>
    <w:p w:rsidR="007A3321" w:rsidRPr="00A23C1B" w:rsidRDefault="007A3321" w:rsidP="00423D04">
      <w:pPr>
        <w:pStyle w:val="Sinespaciado"/>
        <w:ind w:right="49"/>
        <w:jc w:val="both"/>
        <w:rPr>
          <w:sz w:val="24"/>
          <w:szCs w:val="24"/>
        </w:rPr>
      </w:pPr>
    </w:p>
    <w:p w:rsidR="00094249" w:rsidRPr="00A23C1B" w:rsidRDefault="007A3321" w:rsidP="00423D04">
      <w:pPr>
        <w:pStyle w:val="Sinespaciado"/>
        <w:ind w:right="49"/>
        <w:jc w:val="both"/>
        <w:rPr>
          <w:sz w:val="24"/>
          <w:szCs w:val="24"/>
        </w:rPr>
      </w:pPr>
      <w:r w:rsidRPr="00A23C1B">
        <w:rPr>
          <w:sz w:val="24"/>
          <w:szCs w:val="24"/>
        </w:rPr>
        <w:lastRenderedPageBreak/>
        <w:t>Se les recuerda que todo trámite donde medie una empresa Constructora/Desarrolladora, es obligación de la entidad verificar que la misma se encuentr</w:t>
      </w:r>
      <w:r w:rsidR="00423D04">
        <w:rPr>
          <w:sz w:val="24"/>
          <w:szCs w:val="24"/>
        </w:rPr>
        <w:t>e</w:t>
      </w:r>
      <w:r w:rsidRPr="00A23C1B">
        <w:rPr>
          <w:sz w:val="24"/>
          <w:szCs w:val="24"/>
        </w:rPr>
        <w:t xml:space="preserve"> al día en el pago de sus obligaciones.</w:t>
      </w:r>
      <w:r w:rsidR="006D5907" w:rsidRPr="00A23C1B">
        <w:rPr>
          <w:sz w:val="24"/>
          <w:szCs w:val="24"/>
        </w:rPr>
        <w:t xml:space="preserve"> </w:t>
      </w:r>
    </w:p>
    <w:p w:rsidR="006D5907" w:rsidRPr="00A23C1B" w:rsidRDefault="006D5907" w:rsidP="00094249">
      <w:pPr>
        <w:pStyle w:val="Sinespaciado"/>
        <w:ind w:right="900"/>
        <w:jc w:val="both"/>
        <w:rPr>
          <w:sz w:val="24"/>
          <w:szCs w:val="24"/>
        </w:rPr>
      </w:pPr>
    </w:p>
    <w:p w:rsidR="006D5907" w:rsidRPr="00A23C1B" w:rsidRDefault="006D5907" w:rsidP="00094249">
      <w:pPr>
        <w:pStyle w:val="Sinespaciado"/>
        <w:ind w:right="900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Atentamente</w:t>
      </w:r>
      <w:r w:rsidR="00423D04">
        <w:rPr>
          <w:sz w:val="24"/>
          <w:szCs w:val="24"/>
        </w:rPr>
        <w:t>,</w:t>
      </w:r>
    </w:p>
    <w:p w:rsidR="006D5907" w:rsidRPr="00A23C1B" w:rsidRDefault="006D5907" w:rsidP="00094249">
      <w:pPr>
        <w:pStyle w:val="Sinespaciado"/>
        <w:ind w:right="900"/>
        <w:jc w:val="both"/>
        <w:rPr>
          <w:sz w:val="24"/>
          <w:szCs w:val="24"/>
        </w:rPr>
      </w:pPr>
    </w:p>
    <w:p w:rsidR="006D5907" w:rsidRPr="00A23C1B" w:rsidRDefault="006D5907" w:rsidP="00094249">
      <w:pPr>
        <w:pStyle w:val="Sinespaciado"/>
        <w:ind w:right="900"/>
        <w:jc w:val="both"/>
        <w:rPr>
          <w:sz w:val="24"/>
          <w:szCs w:val="24"/>
        </w:rPr>
      </w:pPr>
    </w:p>
    <w:p w:rsidR="006D5907" w:rsidRPr="00A23C1B" w:rsidRDefault="006D5907" w:rsidP="00094249">
      <w:pPr>
        <w:pStyle w:val="Sinespaciado"/>
        <w:ind w:right="900"/>
        <w:jc w:val="both"/>
        <w:rPr>
          <w:sz w:val="24"/>
          <w:szCs w:val="24"/>
        </w:rPr>
      </w:pPr>
    </w:p>
    <w:p w:rsidR="006D5907" w:rsidRPr="00A23C1B" w:rsidRDefault="006D5907" w:rsidP="00094249">
      <w:pPr>
        <w:pStyle w:val="Sinespaciado"/>
        <w:ind w:right="900"/>
        <w:jc w:val="both"/>
        <w:rPr>
          <w:sz w:val="24"/>
          <w:szCs w:val="24"/>
        </w:rPr>
      </w:pPr>
    </w:p>
    <w:p w:rsidR="006D5907" w:rsidRPr="00A23C1B" w:rsidRDefault="006D5907" w:rsidP="00094249">
      <w:pPr>
        <w:pStyle w:val="Sinespaciado"/>
        <w:ind w:right="900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Martha Camacho Murillo, MBA</w:t>
      </w:r>
    </w:p>
    <w:p w:rsidR="006D5907" w:rsidRPr="00A23C1B" w:rsidRDefault="006D5907" w:rsidP="00094249">
      <w:pPr>
        <w:pStyle w:val="Sinespaciado"/>
        <w:ind w:right="900"/>
        <w:jc w:val="both"/>
        <w:rPr>
          <w:sz w:val="24"/>
          <w:szCs w:val="24"/>
        </w:rPr>
      </w:pPr>
      <w:r w:rsidRPr="00A23C1B">
        <w:rPr>
          <w:sz w:val="24"/>
          <w:szCs w:val="24"/>
        </w:rPr>
        <w:t>Directora FOSUVI</w:t>
      </w:r>
    </w:p>
    <w:p w:rsidR="00094249" w:rsidRDefault="00094249" w:rsidP="00423D04">
      <w:pPr>
        <w:pStyle w:val="Sinespaciado"/>
        <w:jc w:val="both"/>
        <w:rPr>
          <w:sz w:val="24"/>
          <w:szCs w:val="24"/>
        </w:rPr>
      </w:pPr>
      <w:bookmarkStart w:id="0" w:name="_GoBack"/>
      <w:bookmarkEnd w:id="0"/>
    </w:p>
    <w:p w:rsidR="00423D04" w:rsidRPr="00A23C1B" w:rsidRDefault="00423D04" w:rsidP="00423D04">
      <w:pPr>
        <w:pStyle w:val="Sinespaciado"/>
        <w:jc w:val="both"/>
        <w:rPr>
          <w:sz w:val="24"/>
          <w:szCs w:val="24"/>
        </w:rPr>
      </w:pPr>
    </w:p>
    <w:p w:rsidR="001E0431" w:rsidRPr="00423D04" w:rsidRDefault="00423D04" w:rsidP="000A3FAA">
      <w:pPr>
        <w:pStyle w:val="Sinespaciado"/>
        <w:jc w:val="both"/>
        <w:rPr>
          <w:sz w:val="14"/>
        </w:rPr>
      </w:pPr>
      <w:r w:rsidRPr="00423D04">
        <w:rPr>
          <w:sz w:val="14"/>
        </w:rPr>
        <w:t>MCM/</w:t>
      </w:r>
      <w:proofErr w:type="spellStart"/>
      <w:r w:rsidRPr="00423D04">
        <w:rPr>
          <w:sz w:val="14"/>
        </w:rPr>
        <w:t>asm</w:t>
      </w:r>
      <w:proofErr w:type="spellEnd"/>
      <w:r w:rsidRPr="00423D04">
        <w:rPr>
          <w:sz w:val="14"/>
        </w:rPr>
        <w:t>/</w:t>
      </w:r>
      <w:proofErr w:type="spellStart"/>
      <w:r w:rsidRPr="00423D04">
        <w:rPr>
          <w:sz w:val="14"/>
        </w:rPr>
        <w:t>hmc</w:t>
      </w:r>
      <w:proofErr w:type="spellEnd"/>
      <w:r w:rsidRPr="00423D04">
        <w:rPr>
          <w:sz w:val="14"/>
        </w:rPr>
        <w:t>*</w:t>
      </w:r>
    </w:p>
    <w:p w:rsidR="00423D04" w:rsidRPr="00423D04" w:rsidRDefault="00423D04" w:rsidP="000A3FAA">
      <w:pPr>
        <w:pStyle w:val="Sinespaciado"/>
        <w:jc w:val="both"/>
        <w:rPr>
          <w:sz w:val="14"/>
        </w:rPr>
      </w:pPr>
    </w:p>
    <w:p w:rsidR="00423D04" w:rsidRDefault="00423D04" w:rsidP="00423D04">
      <w:pPr>
        <w:pStyle w:val="Sinespaciado"/>
        <w:numPr>
          <w:ilvl w:val="0"/>
          <w:numId w:val="1"/>
        </w:numPr>
        <w:ind w:left="426" w:hanging="426"/>
        <w:jc w:val="both"/>
      </w:pPr>
      <w:r>
        <w:t>Archivo</w:t>
      </w:r>
    </w:p>
    <w:sectPr w:rsidR="00423D04" w:rsidSect="00423D0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68" w:right="1701" w:bottom="1418" w:left="1701" w:header="709" w:footer="709" w:gutter="0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C1B" w:rsidRDefault="00A23C1B" w:rsidP="00A23C1B">
      <w:r>
        <w:separator/>
      </w:r>
    </w:p>
  </w:endnote>
  <w:endnote w:type="continuationSeparator" w:id="0">
    <w:p w:rsidR="00A23C1B" w:rsidRDefault="00A23C1B" w:rsidP="00A2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B" w:rsidRPr="00A23C1B" w:rsidRDefault="00A23C1B" w:rsidP="00A23C1B">
    <w:pPr>
      <w:pStyle w:val="Piedepgina"/>
      <w:rPr>
        <w:rFonts w:asciiTheme="minorHAnsi" w:hAnsiTheme="minorHAnsi"/>
        <w:sz w:val="18"/>
      </w:rPr>
    </w:pPr>
    <w:r>
      <w:rPr>
        <w:noProof/>
      </w:rPr>
      <w:drawing>
        <wp:inline distT="0" distB="0" distL="0" distR="0" wp14:anchorId="3E9B35E7" wp14:editId="636FA38D">
          <wp:extent cx="5608955" cy="225425"/>
          <wp:effectExtent l="0" t="0" r="0" b="3175"/>
          <wp:docPr id="2" name="Imagen 2" descr="INFOinf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FOinf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B" w:rsidRPr="00A23C1B" w:rsidRDefault="00A23C1B" w:rsidP="00A23C1B">
    <w:pPr>
      <w:widowControl/>
      <w:tabs>
        <w:tab w:val="center" w:pos="4252"/>
        <w:tab w:val="right" w:pos="8504"/>
      </w:tabs>
      <w:autoSpaceDE/>
      <w:autoSpaceDN/>
      <w:adjustRightInd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CE240BF" wp14:editId="1EDAC824">
          <wp:extent cx="5608955" cy="225425"/>
          <wp:effectExtent l="0" t="0" r="0" b="3175"/>
          <wp:docPr id="1" name="Imagen 1" descr="INFOinf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FOinf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22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C1B" w:rsidRDefault="00A23C1B" w:rsidP="00A23C1B">
      <w:r>
        <w:separator/>
      </w:r>
    </w:p>
  </w:footnote>
  <w:footnote w:type="continuationSeparator" w:id="0">
    <w:p w:rsidR="00A23C1B" w:rsidRDefault="00A23C1B" w:rsidP="00A23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B" w:rsidRPr="00A23C1B" w:rsidRDefault="00A23C1B">
    <w:pPr>
      <w:pStyle w:val="Encabezado"/>
      <w:rPr>
        <w:rFonts w:asciiTheme="minorHAnsi" w:hAnsiTheme="minorHAnsi"/>
        <w:i/>
        <w:sz w:val="18"/>
        <w:szCs w:val="18"/>
      </w:rPr>
    </w:pPr>
    <w: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41.4pt;height:48.2pt" o:ole="">
          <v:imagedata r:id="rId1" o:title=""/>
        </v:shape>
        <o:OLEObject Type="Embed" ProgID="MSPhotoEd.3" ShapeID="_x0000_i1036" DrawAspect="Content" ObjectID="_1615206860" r:id="rId2"/>
      </w:object>
    </w:r>
  </w:p>
  <w:p w:rsidR="00A23C1B" w:rsidRPr="00A23C1B" w:rsidRDefault="00A23C1B" w:rsidP="00A23C1B">
    <w:pPr>
      <w:pStyle w:val="Encabezado"/>
      <w:jc w:val="right"/>
      <w:rPr>
        <w:rFonts w:asciiTheme="minorHAnsi" w:hAnsiTheme="minorHAnsi"/>
        <w:i/>
        <w:sz w:val="18"/>
        <w:szCs w:val="18"/>
      </w:rPr>
    </w:pPr>
  </w:p>
  <w:p w:rsidR="00A23C1B" w:rsidRPr="00A23C1B" w:rsidRDefault="00A23C1B" w:rsidP="00A23C1B">
    <w:pPr>
      <w:pStyle w:val="Encabezado"/>
      <w:jc w:val="right"/>
      <w:rPr>
        <w:rFonts w:asciiTheme="minorHAnsi" w:hAnsiTheme="minorHAnsi"/>
        <w:i/>
        <w:sz w:val="18"/>
        <w:szCs w:val="18"/>
      </w:rPr>
    </w:pPr>
  </w:p>
  <w:p w:rsidR="00A23C1B" w:rsidRPr="00A23C1B" w:rsidRDefault="00A23C1B" w:rsidP="00A23C1B">
    <w:pPr>
      <w:pStyle w:val="Encabezado"/>
      <w:jc w:val="right"/>
      <w:rPr>
        <w:rFonts w:asciiTheme="minorHAnsi" w:hAnsiTheme="minorHAnsi"/>
        <w:i/>
        <w:sz w:val="18"/>
        <w:szCs w:val="18"/>
      </w:rPr>
    </w:pPr>
    <w:r w:rsidRPr="00A23C1B">
      <w:rPr>
        <w:rFonts w:asciiTheme="minorHAnsi" w:hAnsiTheme="minorHAnsi"/>
        <w:i/>
        <w:sz w:val="18"/>
        <w:szCs w:val="18"/>
      </w:rPr>
      <w:t xml:space="preserve">Pág. </w:t>
    </w:r>
    <w:r w:rsidRPr="00A23C1B">
      <w:rPr>
        <w:rFonts w:asciiTheme="minorHAnsi" w:hAnsiTheme="minorHAnsi"/>
        <w:i/>
        <w:sz w:val="18"/>
        <w:szCs w:val="18"/>
      </w:rPr>
      <w:fldChar w:fldCharType="begin"/>
    </w:r>
    <w:r w:rsidRPr="00A23C1B">
      <w:rPr>
        <w:rFonts w:asciiTheme="minorHAnsi" w:hAnsiTheme="minorHAnsi"/>
        <w:i/>
        <w:sz w:val="18"/>
        <w:szCs w:val="18"/>
      </w:rPr>
      <w:instrText>PAGE   \* MERGEFORMAT</w:instrText>
    </w:r>
    <w:r w:rsidRPr="00A23C1B">
      <w:rPr>
        <w:rFonts w:asciiTheme="minorHAnsi" w:hAnsiTheme="minorHAnsi"/>
        <w:i/>
        <w:sz w:val="18"/>
        <w:szCs w:val="18"/>
      </w:rPr>
      <w:fldChar w:fldCharType="separate"/>
    </w:r>
    <w:r w:rsidR="00423D04">
      <w:rPr>
        <w:rFonts w:asciiTheme="minorHAnsi" w:hAnsiTheme="minorHAnsi"/>
        <w:i/>
        <w:noProof/>
        <w:sz w:val="18"/>
        <w:szCs w:val="18"/>
      </w:rPr>
      <w:t>2</w:t>
    </w:r>
    <w:r w:rsidRPr="00A23C1B">
      <w:rPr>
        <w:rFonts w:asciiTheme="minorHAnsi" w:hAnsiTheme="minorHAnsi"/>
        <w:i/>
        <w:sz w:val="18"/>
        <w:szCs w:val="18"/>
      </w:rPr>
      <w:fldChar w:fldCharType="end"/>
    </w:r>
  </w:p>
  <w:p w:rsidR="00A23C1B" w:rsidRPr="00A23C1B" w:rsidRDefault="00A23C1B" w:rsidP="00A23C1B">
    <w:pPr>
      <w:pStyle w:val="Encabezado"/>
      <w:jc w:val="right"/>
      <w:rPr>
        <w:rFonts w:asciiTheme="minorHAnsi" w:hAnsiTheme="minorHAnsi"/>
        <w:i/>
        <w:sz w:val="18"/>
        <w:szCs w:val="18"/>
      </w:rPr>
    </w:pPr>
    <w:r w:rsidRPr="00A23C1B">
      <w:rPr>
        <w:rFonts w:asciiTheme="minorHAnsi" w:hAnsiTheme="minorHAnsi"/>
        <w:i/>
        <w:sz w:val="18"/>
        <w:szCs w:val="18"/>
      </w:rPr>
      <w:t>DF-CI-0324-2019</w:t>
    </w:r>
  </w:p>
  <w:p w:rsidR="00A23C1B" w:rsidRPr="00A23C1B" w:rsidRDefault="00A23C1B" w:rsidP="00A23C1B">
    <w:pPr>
      <w:pStyle w:val="Encabezado"/>
      <w:jc w:val="right"/>
      <w:rPr>
        <w:rFonts w:asciiTheme="minorHAnsi" w:hAnsiTheme="minorHAnsi"/>
        <w:i/>
        <w:sz w:val="18"/>
        <w:szCs w:val="18"/>
      </w:rPr>
    </w:pPr>
    <w:r w:rsidRPr="00A23C1B">
      <w:rPr>
        <w:rFonts w:asciiTheme="minorHAnsi" w:hAnsiTheme="minorHAnsi"/>
        <w:i/>
        <w:sz w:val="18"/>
        <w:szCs w:val="18"/>
      </w:rPr>
      <w:t>27 de marzo de 2019</w:t>
    </w:r>
  </w:p>
  <w:p w:rsidR="00A23C1B" w:rsidRDefault="00A23C1B" w:rsidP="00A23C1B">
    <w:pPr>
      <w:pStyle w:val="Encabezado"/>
      <w:jc w:val="right"/>
      <w:rPr>
        <w:rFonts w:asciiTheme="minorHAnsi" w:hAnsiTheme="minorHAnsi"/>
        <w:sz w:val="22"/>
        <w:szCs w:val="18"/>
      </w:rPr>
    </w:pPr>
  </w:p>
  <w:p w:rsidR="00A23C1B" w:rsidRDefault="00A23C1B" w:rsidP="00A23C1B">
    <w:pPr>
      <w:pStyle w:val="Encabezado"/>
      <w:jc w:val="right"/>
      <w:rPr>
        <w:rFonts w:asciiTheme="minorHAnsi" w:hAnsiTheme="minorHAnsi"/>
        <w:sz w:val="22"/>
        <w:szCs w:val="18"/>
      </w:rPr>
    </w:pPr>
  </w:p>
  <w:p w:rsidR="00A23C1B" w:rsidRPr="00A23C1B" w:rsidRDefault="00A23C1B" w:rsidP="00A23C1B">
    <w:pPr>
      <w:pStyle w:val="Encabezado"/>
      <w:jc w:val="right"/>
      <w:rPr>
        <w:rFonts w:asciiTheme="minorHAnsi" w:hAnsiTheme="minorHAnsi"/>
        <w:sz w:val="22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B" w:rsidRPr="00A23C1B" w:rsidRDefault="00A23C1B">
    <w:pPr>
      <w:pStyle w:val="Encabezado"/>
      <w:rPr>
        <w:rFonts w:asciiTheme="minorHAnsi" w:hAnsiTheme="minorHAnsi"/>
        <w:sz w:val="20"/>
      </w:rPr>
    </w:pPr>
    <w: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1.4pt;height:48.2pt" o:ole="">
          <v:imagedata r:id="rId1" o:title=""/>
        </v:shape>
        <o:OLEObject Type="Embed" ProgID="MSPhotoEd.3" ShapeID="_x0000_i1027" DrawAspect="Content" ObjectID="_16152068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0C89"/>
    <w:multiLevelType w:val="hybridMultilevel"/>
    <w:tmpl w:val="A1F60076"/>
    <w:lvl w:ilvl="0" w:tplc="44025670">
      <w:start w:val="27"/>
      <w:numFmt w:val="bullet"/>
      <w:lvlText w:val="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FAA"/>
    <w:rsid w:val="00094249"/>
    <w:rsid w:val="000A3FAA"/>
    <w:rsid w:val="001E0431"/>
    <w:rsid w:val="003C5FED"/>
    <w:rsid w:val="00423D04"/>
    <w:rsid w:val="004653E4"/>
    <w:rsid w:val="005F5F8A"/>
    <w:rsid w:val="006D5907"/>
    <w:rsid w:val="007A3321"/>
    <w:rsid w:val="007E692F"/>
    <w:rsid w:val="00A23C1B"/>
    <w:rsid w:val="00B64C82"/>
    <w:rsid w:val="00B672B8"/>
    <w:rsid w:val="00D45B11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A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3FAA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0431"/>
    <w:pPr>
      <w:widowControl/>
      <w:autoSpaceDE/>
      <w:autoSpaceDN/>
      <w:adjustRightInd/>
    </w:pPr>
    <w:rPr>
      <w:rFonts w:ascii="Calibri" w:eastAsiaTheme="minorHAnsi" w:hAnsi="Calibri" w:cs="Times New Roman"/>
      <w:sz w:val="22"/>
      <w:szCs w:val="22"/>
      <w:lang w:val="es-C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0431"/>
    <w:rPr>
      <w:rFonts w:ascii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23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C1B"/>
    <w:rPr>
      <w:rFonts w:ascii="Bookman Old Style" w:eastAsia="Times New Roman" w:hAnsi="Bookman Old Style" w:cs="Bookman Old Style"/>
      <w:sz w:val="48"/>
      <w:szCs w:val="4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23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C1B"/>
    <w:rPr>
      <w:rFonts w:ascii="Bookman Old Style" w:eastAsia="Times New Roman" w:hAnsi="Bookman Old Style" w:cs="Bookman Old Style"/>
      <w:sz w:val="48"/>
      <w:szCs w:val="48"/>
      <w:lang w:val="es-ES" w:eastAsia="es-ES"/>
    </w:rPr>
  </w:style>
  <w:style w:type="paragraph" w:customStyle="1" w:styleId="CarCarCar1CarCarCarCarCarCarCarCarCarCarCarCar">
    <w:name w:val=" Car Car Car1 Car Car Car Car Car Car Car Car Car Car Car Car"/>
    <w:basedOn w:val="Normal"/>
    <w:rsid w:val="00A23C1B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C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C1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A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3FAA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0431"/>
    <w:pPr>
      <w:widowControl/>
      <w:autoSpaceDE/>
      <w:autoSpaceDN/>
      <w:adjustRightInd/>
    </w:pPr>
    <w:rPr>
      <w:rFonts w:ascii="Calibri" w:eastAsiaTheme="minorHAnsi" w:hAnsi="Calibri" w:cs="Times New Roman"/>
      <w:sz w:val="22"/>
      <w:szCs w:val="22"/>
      <w:lang w:val="es-C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0431"/>
    <w:rPr>
      <w:rFonts w:ascii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23C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C1B"/>
    <w:rPr>
      <w:rFonts w:ascii="Bookman Old Style" w:eastAsia="Times New Roman" w:hAnsi="Bookman Old Style" w:cs="Bookman Old Style"/>
      <w:sz w:val="48"/>
      <w:szCs w:val="4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23C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C1B"/>
    <w:rPr>
      <w:rFonts w:ascii="Bookman Old Style" w:eastAsia="Times New Roman" w:hAnsi="Bookman Old Style" w:cs="Bookman Old Style"/>
      <w:sz w:val="48"/>
      <w:szCs w:val="48"/>
      <w:lang w:val="es-ES" w:eastAsia="es-ES"/>
    </w:rPr>
  </w:style>
  <w:style w:type="paragraph" w:customStyle="1" w:styleId="CarCarCar1CarCarCarCarCarCarCarCarCarCarCarCar">
    <w:name w:val=" Car Car Car1 Car Car Car Car Car Car Car Car Car Car Car Car"/>
    <w:basedOn w:val="Normal"/>
    <w:rsid w:val="00A23C1B"/>
    <w:pPr>
      <w:widowControl/>
      <w:autoSpaceDE/>
      <w:autoSpaceDN/>
      <w:adjustRightInd/>
      <w:spacing w:after="160" w:line="240" w:lineRule="exact"/>
    </w:pPr>
    <w:rPr>
      <w:rFonts w:ascii="Arial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3C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C1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Solano Montero Alexis</dc:creator>
  <cp:lastModifiedBy>Martínez Cordero Hannia</cp:lastModifiedBy>
  <cp:revision>2</cp:revision>
  <cp:lastPrinted>2019-03-27T21:47:00Z</cp:lastPrinted>
  <dcterms:created xsi:type="dcterms:W3CDTF">2019-03-27T21:48:00Z</dcterms:created>
  <dcterms:modified xsi:type="dcterms:W3CDTF">2019-03-27T21:48:00Z</dcterms:modified>
</cp:coreProperties>
</file>